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8.0" w:type="dxa"/>
        <w:jc w:val="left"/>
        <w:tblInd w:w="0.0" w:type="dxa"/>
        <w:tblLayout w:type="fixed"/>
        <w:tblLook w:val="0000"/>
      </w:tblPr>
      <w:tblGrid>
        <w:gridCol w:w="975"/>
        <w:gridCol w:w="13583"/>
        <w:tblGridChange w:id="0">
          <w:tblGrid>
            <w:gridCol w:w="975"/>
            <w:gridCol w:w="13583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114300" distR="114300">
                  <wp:extent cx="498475" cy="394335"/>
                  <wp:effectExtent b="0" l="0" r="0" t="0"/>
                  <wp:docPr id="103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394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5818e" w:val="clea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ind w:left="1" w:hanging="3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Association des résidents du lac Émeraude - Plan stratégique 2021-2026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" w:firstLine="0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65.0" w:type="dxa"/>
        <w:jc w:val="left"/>
        <w:tblInd w:w="0.0" w:type="dxa"/>
        <w:tblLayout w:type="fixed"/>
        <w:tblLook w:val="0000"/>
      </w:tblPr>
      <w:tblGrid>
        <w:gridCol w:w="7290"/>
        <w:gridCol w:w="255"/>
        <w:gridCol w:w="2685"/>
        <w:gridCol w:w="255"/>
        <w:gridCol w:w="4080"/>
        <w:tblGridChange w:id="0">
          <w:tblGrid>
            <w:gridCol w:w="7290"/>
            <w:gridCol w:w="255"/>
            <w:gridCol w:w="2685"/>
            <w:gridCol w:w="255"/>
            <w:gridCol w:w="40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color w:val="000000"/>
                <w:sz w:val="6"/>
                <w:szCs w:val="6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Notre mission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rPr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Notre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Nos valeurs</w:t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65.0" w:type="dxa"/>
        <w:jc w:val="left"/>
        <w:tblInd w:w="0.0" w:type="dxa"/>
        <w:tblLayout w:type="fixed"/>
        <w:tblLook w:val="0000"/>
      </w:tblPr>
      <w:tblGrid>
        <w:gridCol w:w="7290"/>
        <w:gridCol w:w="255"/>
        <w:gridCol w:w="2670"/>
        <w:gridCol w:w="255"/>
        <w:gridCol w:w="4095"/>
        <w:tblGridChange w:id="0">
          <w:tblGrid>
            <w:gridCol w:w="7290"/>
            <w:gridCol w:w="255"/>
            <w:gridCol w:w="2670"/>
            <w:gridCol w:w="255"/>
            <w:gridCol w:w="4095"/>
          </w:tblGrid>
        </w:tblGridChange>
      </w:tblGrid>
      <w:tr>
        <w:trPr>
          <w:trHeight w:val="17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57" w:before="57" w:lineRule="auto"/>
              <w:ind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L’Association a pour mission de voir aux intérêts et au bien-être des résidents du lac Émeraude à travers le respect de l’environnement. Pour ce faire, l’Association s’engage à : 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ind w:left="113" w:hanging="11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tenir à l’affût des gestes concrets favorisant la préservation et le respect de l’environnement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ind w:left="113" w:hanging="11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Solliciter la participation active des résidents et prendre en considération leurs commentaires constructifs pour atteindre nos objectifs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ind w:left="113" w:hanging="11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Réaliser des actions et projets en lien avec la mission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ind w:left="113" w:hanging="11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Représenter l’ensemble des résidents du lac Émeraude auprès des instances gouvernementales et municipales dans différents dossiers.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L’Association souhaite que les résidents du lac Émeraude puissent continuer à vivre dans un environnement sain et durable, et toujours profiter d’une qualité d’eau exceptionnelle tout en préservant le patrimoine et la valeur des propriétés riveraines.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57" w:before="57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Notre Association a pour valeurs : 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 respect de l’environnement et la conservation de la qualité de l’eau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L’entente cordiale entre les résidents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participation et l’engagement des résidents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Une gestion de bonne gouvernance et d’éthique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L’autonomie et la transparence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3" w:right="0" w:hanging="113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L’accessibilité à l’information pour tous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58.0" w:type="dxa"/>
        <w:jc w:val="left"/>
        <w:tblInd w:w="0.0" w:type="dxa"/>
        <w:tblLayout w:type="fixed"/>
        <w:tblLook w:val="0000"/>
      </w:tblPr>
      <w:tblGrid>
        <w:gridCol w:w="6750"/>
        <w:gridCol w:w="4710"/>
        <w:gridCol w:w="1605"/>
        <w:gridCol w:w="1493"/>
        <w:tblGridChange w:id="0">
          <w:tblGrid>
            <w:gridCol w:w="6750"/>
            <w:gridCol w:w="4710"/>
            <w:gridCol w:w="1605"/>
            <w:gridCol w:w="1493"/>
          </w:tblGrid>
        </w:tblGridChange>
      </w:tblGrid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Enjeu 1 : La qualité de l'environnement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8080"/>
                <w:rtl w:val="0"/>
              </w:rPr>
              <w:t xml:space="preserve">Orientation 1 : Maintenir un lac oligotrophe et une bande riveraine en santé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pacing w:before="20" w:lineRule="auto"/>
              <w:ind w:left="0" w:hanging="2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Objectifs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pacing w:before="20" w:lineRule="auto"/>
              <w:ind w:left="0" w:hanging="2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Indicateurs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pacing w:before="20" w:lineRule="auto"/>
              <w:ind w:left="0" w:hanging="2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Valeurs de départ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pacing w:before="20" w:lineRule="auto"/>
              <w:ind w:left="0" w:hanging="2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Valeurs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pacing w:before="20" w:lineRule="auto"/>
              <w:ind w:left="0" w:hanging="2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 Maintenir la qualité de l’eau du lac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Taux de phosphate moyen au cours d’une année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2,3 µg/l (2020)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&lt; 4,0 µg/l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Mesure de la transparence de l'eau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7,4 m (2020)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&gt;7 m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(moy sur 6 ans)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d'espèces exotiques envahissantes dans le lac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Aucune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Aucune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moteurs polluants (2 temps)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 Améliorer la bande riveraine pour une meilleure filtration des polluants et des</w:t>
              <w:br w:type="textWrapping"/>
              <w:t xml:space="preserve">      éléments nutritifs.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Pourcentage des bandes riveraines saines (sans gazon et végétalisées)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83%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90%</w:t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 Prévenir l’érosion des rives causée par les vagues et le ruissellement des </w:t>
              <w:br w:type="textWrapping"/>
              <w:t xml:space="preserve">      eaux de surface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sentiers ou descentes à bateau avec présence d’érosion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0" w:line="24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Réduction de 50%</w:t>
            </w:r>
          </w:p>
        </w:tc>
      </w:tr>
    </w:tbl>
    <w:p w:rsidR="00000000" w:rsidDel="00000000" w:rsidP="00000000" w:rsidRDefault="00000000" w:rsidRPr="00000000" w14:paraId="0000004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28.0" w:type="dxa"/>
        <w:jc w:val="left"/>
        <w:tblInd w:w="0.0" w:type="dxa"/>
        <w:tblLayout w:type="fixed"/>
        <w:tblLook w:val="0000"/>
      </w:tblPr>
      <w:tblGrid>
        <w:gridCol w:w="6720"/>
        <w:gridCol w:w="4710"/>
        <w:gridCol w:w="1605"/>
        <w:gridCol w:w="1493"/>
        <w:tblGridChange w:id="0">
          <w:tblGrid>
            <w:gridCol w:w="6720"/>
            <w:gridCol w:w="4710"/>
            <w:gridCol w:w="1605"/>
            <w:gridCol w:w="1493"/>
          </w:tblGrid>
        </w:tblGridChange>
      </w:tblGrid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8080"/>
                <w:rtl w:val="0"/>
              </w:rPr>
              <w:t xml:space="preserve">Orientation 2 : Protéger la forêt et gérer les menaces à la qualité de l’eau du lac (environnement externe au lac)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Objectifs 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Indicateurs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Valeurs de départ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Valeurs </w:t>
              <w:br w:type="textWrapping"/>
              <w:t xml:space="preserve">cibles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pacing w:before="2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 Améliorer la gestion et le traitement des eaux usées des résidences  </w:t>
              <w:br w:type="textWrapping"/>
              <w:t xml:space="preserve">      (fosses septiques et champs d’épuration)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d’installations septiques améliorées depuis l’année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Selon le rapport de la Mun.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Doubler la valeur de départ</w:t>
            </w:r>
          </w:p>
        </w:tc>
      </w:tr>
      <w:tr>
        <w:trPr>
          <w:trHeight w:val="408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2.2 Préserver l’aspect naturel et boisé des alentours du lac </w:t>
              <w:br w:type="textWrapping"/>
              <w:t xml:space="preserve">     (Ne dépassant pas le bassin versant)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communications de sensibilisation faites auprès des membres pour le maintien de l’aspect naturel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par année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restart"/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 Prévenir l’introduction d’espèces exotiques envahissantes dans la bande </w:t>
              <w:br w:type="textWrapping"/>
              <w:t xml:space="preserve">      riveraine et dans la forêt (ne dépassant pas le bassin versant).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Présence d’espèces exotiques envahissantes répertoriées et contrôlées 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</w:t>
              <w:br w:type="textWrapping"/>
              <w:t xml:space="preserve">emplacements en dehors de la bande riveraine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emplacement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/>
      </w:pPr>
      <w:r w:rsidDel="00000000" w:rsidR="00000000" w:rsidRPr="00000000">
        <w:rPr>
          <w:sz w:val="18"/>
          <w:szCs w:val="18"/>
          <w:shd w:fill="ffe599" w:val="clear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4543.0" w:type="dxa"/>
        <w:jc w:val="left"/>
        <w:tblInd w:w="0.0" w:type="dxa"/>
        <w:tblLayout w:type="fixed"/>
        <w:tblLook w:val="0000"/>
      </w:tblPr>
      <w:tblGrid>
        <w:gridCol w:w="6735"/>
        <w:gridCol w:w="4710"/>
        <w:gridCol w:w="1605"/>
        <w:gridCol w:w="1493"/>
        <w:tblGridChange w:id="0">
          <w:tblGrid>
            <w:gridCol w:w="6735"/>
            <w:gridCol w:w="4710"/>
            <w:gridCol w:w="1605"/>
            <w:gridCol w:w="1493"/>
          </w:tblGrid>
        </w:tblGridChange>
      </w:tblGrid>
      <w:tr>
        <w:trPr>
          <w:trHeight w:val="21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Enjeu 2 : La sécurité et la quiétude des lieux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8080"/>
                <w:rtl w:val="0"/>
              </w:rPr>
              <w:t xml:space="preserve">Orientation 3 : Maintenir un environnement sécuritaire et respectueux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Objectifs 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Indicateurs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Valeurs de départ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Valeurs cibles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3.1 Mettre en place des mesures de sécurité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nautique et routière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appropriées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widowControl w:val="0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vols ou d’intrusion sur les propriétés signalés à l’Association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(2019)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widowControl w:val="0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communications de sensibilisation faites auprès des membres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0" w:lineRule="auto"/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/ année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20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/ année</w:t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3.2 Maintenir un climat de quiétude et de respect, sur l’eau et hors de l’eau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widowControl w:val="0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plaintes de nuisance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sz w:val="18"/>
          <w:szCs w:val="1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528.0" w:type="dxa"/>
        <w:jc w:val="left"/>
        <w:tblInd w:w="0.0" w:type="dxa"/>
        <w:tblLayout w:type="fixed"/>
        <w:tblLook w:val="0000"/>
      </w:tblPr>
      <w:tblGrid>
        <w:gridCol w:w="6720"/>
        <w:gridCol w:w="4710"/>
        <w:gridCol w:w="1605"/>
        <w:gridCol w:w="1493"/>
        <w:tblGridChange w:id="0">
          <w:tblGrid>
            <w:gridCol w:w="6720"/>
            <w:gridCol w:w="4710"/>
            <w:gridCol w:w="1605"/>
            <w:gridCol w:w="1493"/>
          </w:tblGrid>
        </w:tblGridChange>
      </w:tblGrid>
      <w:tr>
        <w:trPr>
          <w:trHeight w:val="23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lineRule="auto"/>
              <w:ind w:left="0" w:hanging="2"/>
              <w:rPr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Enjeu 3 : Le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rayonnement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de l'ARLÉ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8080"/>
                <w:rtl w:val="0"/>
              </w:rPr>
              <w:t xml:space="preserve">Orientation 4 : Développer le sentiment d’appartenance communautaire au sein de l’ARLÉ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Objectifs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Indicateurs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Valeurs de départ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45818e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Valeurs cibles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restart"/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4.1 Développer une association participative et mobilisée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widowControl w:val="0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Pourcentage d’appréciation des membres envers l’administration lors des sondages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Satisfait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Nombre de bénévoles impliqués dans l’administration ou les comités de l’association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25 personnes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&gt;= 20 personnes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Nombre de propriétaires membres de l’association (sur 10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propriétaires)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98% (2019)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&gt;95% 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Nombre de propriétaires présents à l'assemblée générale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restart"/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4.2 Communiquer régulièrement et efficacement avec les membres et leurs</w:t>
              <w:br w:type="textWrapping"/>
              <w:t xml:space="preserve">      invités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widowControl w:val="0"/>
              <w:ind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Pourcentage d’appréciation des membres envers les communications lors des sondages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Satisfait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widowControl w:val="0"/>
              <w:ind w:hanging="2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communications annuelles du CA et des comités “Environnement, Sécurité et Loisirs” (courriel, Facebook, site Web)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 par mois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restart"/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4.3 Développer des activités et infrastructures qui répondent aux attentes des </w:t>
              <w:br w:type="textWrapping"/>
              <w:t xml:space="preserve">      membres (12 mois par année)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Pourcentage d’appréciation des membres à chaque activité via un sondage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50%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widowControl w:val="0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Pourcentage d’appréciation des membres aux infrastructures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via un sondage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(sentiers hivernaux, sentiers pédestres)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widowControl w:val="0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widowControl w:val="0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4.4 Développer un esprit de collaboration, de partage d’information et de </w:t>
              <w:br w:type="textWrapping"/>
              <w:t xml:space="preserve">      proximité avec la Municipalité et les organismes du territoire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projets en collaboration avec la Municipalité et les organismes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 par année</w:t>
            </w:r>
          </w:p>
        </w:tc>
      </w:tr>
    </w:tbl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3" w:hanging="11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○"/>
      <w:lvlJc w:val="left"/>
      <w:pPr>
        <w:ind w:left="11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■"/>
      <w:lvlJc w:val="left"/>
      <w:pPr>
        <w:ind w:left="15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22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■"/>
      <w:lvlJc w:val="left"/>
      <w:pPr>
        <w:ind w:left="26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33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■"/>
      <w:lvlJc w:val="left"/>
      <w:pPr>
        <w:ind w:left="37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pPr>
      <w:ind w:left="-1" w:leftChars="-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itre1">
    <w:name w:val="heading 1"/>
    <w:basedOn w:val="Normal"/>
    <w:next w:val="Corpsdetexte"/>
    <w:uiPriority w:val="9"/>
    <w:qFormat w:val="1"/>
    <w:pPr>
      <w:keepNext w:val="1"/>
      <w:keepLines w:val="1"/>
      <w:spacing w:after="120" w:before="400" w:line="100" w:lineRule="atLeast"/>
    </w:pPr>
    <w:rPr>
      <w:sz w:val="40"/>
      <w:szCs w:val="40"/>
    </w:rPr>
  </w:style>
  <w:style w:type="paragraph" w:styleId="Titre2">
    <w:name w:val="heading 2"/>
    <w:basedOn w:val="Normal"/>
    <w:next w:val="Corpsdetexte"/>
    <w:uiPriority w:val="9"/>
    <w:semiHidden w:val="1"/>
    <w:unhideWhenUsed w:val="1"/>
    <w:qFormat w:val="1"/>
    <w:pPr>
      <w:keepNext w:val="1"/>
      <w:keepLines w:val="1"/>
      <w:spacing w:after="120" w:before="360" w:line="100" w:lineRule="atLeast"/>
      <w:outlineLvl w:val="1"/>
    </w:pPr>
    <w:rPr>
      <w:sz w:val="32"/>
      <w:szCs w:val="32"/>
    </w:rPr>
  </w:style>
  <w:style w:type="paragraph" w:styleId="Titre3">
    <w:name w:val="heading 3"/>
    <w:basedOn w:val="Normal"/>
    <w:next w:val="Corpsdetexte"/>
    <w:uiPriority w:val="9"/>
    <w:semiHidden w:val="1"/>
    <w:unhideWhenUsed w:val="1"/>
    <w:qFormat w:val="1"/>
    <w:pPr>
      <w:keepNext w:val="1"/>
      <w:keepLines w:val="1"/>
      <w:spacing w:after="80" w:before="320" w:line="100" w:lineRule="atLeast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Corpsdetexte"/>
    <w:uiPriority w:val="9"/>
    <w:semiHidden w:val="1"/>
    <w:unhideWhenUsed w:val="1"/>
    <w:qFormat w:val="1"/>
    <w:pPr>
      <w:keepNext w:val="1"/>
      <w:keepLines w:val="1"/>
      <w:spacing w:after="80" w:before="280" w:line="100" w:lineRule="atLeast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Corpsdetexte"/>
    <w:uiPriority w:val="9"/>
    <w:semiHidden w:val="1"/>
    <w:unhideWhenUsed w:val="1"/>
    <w:qFormat w:val="1"/>
    <w:pPr>
      <w:keepNext w:val="1"/>
      <w:keepLines w:val="1"/>
      <w:spacing w:after="80" w:before="240" w:line="100" w:lineRule="atLeast"/>
      <w:outlineLvl w:val="4"/>
    </w:pPr>
    <w:rPr>
      <w:color w:val="666666"/>
    </w:rPr>
  </w:style>
  <w:style w:type="paragraph" w:styleId="Titre6">
    <w:name w:val="heading 6"/>
    <w:basedOn w:val="Normal"/>
    <w:next w:val="Corpsdetexte"/>
    <w:uiPriority w:val="9"/>
    <w:semiHidden w:val="1"/>
    <w:unhideWhenUsed w:val="1"/>
    <w:qFormat w:val="1"/>
    <w:pPr>
      <w:keepNext w:val="1"/>
      <w:keepLines w:val="1"/>
      <w:spacing w:after="80" w:before="240" w:line="100" w:lineRule="atLeast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Standard"/>
    <w:next w:val="Corpsdetexte"/>
    <w:uiPriority w:val="10"/>
    <w:qFormat w:val="1"/>
    <w:pPr>
      <w:keepNext w:val="1"/>
      <w:spacing w:after="120" w:before="240"/>
    </w:pPr>
    <w:rPr>
      <w:rFonts w:cs="Lucida Sans" w:eastAsia="Microsoft YaHei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pPr>
      <w:widowControl w:val="0"/>
      <w:ind w:left="-1" w:leftChars="-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character" w:styleId="ListLabel1" w:customStyle="1">
    <w:name w:val="ListLabel 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8"/>
      <w:szCs w:val="28"/>
      <w:u w:val="none"/>
      <w:effect w:val="none"/>
      <w:vertAlign w:val="baseline"/>
      <w:cs w:val="0"/>
      <w:em w:val="none"/>
    </w:rPr>
  </w:style>
  <w:style w:type="character" w:styleId="Puces" w:customStyle="1">
    <w:name w:val="Puce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</w:rPr>
  </w:style>
  <w:style w:type="paragraph" w:styleId="Titreprincipal" w:customStyle="1">
    <w:name w:val="Titre principal"/>
    <w:basedOn w:val="Normal"/>
    <w:next w:val="Sous-titre"/>
    <w:pPr>
      <w:keepNext w:val="1"/>
      <w:keepLines w:val="1"/>
      <w:spacing w:after="60" w:line="100" w:lineRule="atLeast"/>
    </w:pPr>
    <w:rPr>
      <w:b w:val="1"/>
      <w:bCs w:val="1"/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nudetableau" w:customStyle="1">
    <w:name w:val="Contenu de tableau"/>
    <w:basedOn w:val="Standard"/>
    <w:pPr>
      <w:suppressLineNumbers w:val="1"/>
    </w:pPr>
  </w:style>
  <w:style w:type="paragraph" w:styleId="Titredetableau" w:customStyle="1">
    <w:name w:val="Titre de tableau"/>
    <w:basedOn w:val="Contenudetableau"/>
    <w:pPr>
      <w:jc w:val="center"/>
    </w:pPr>
    <w:rPr>
      <w:b w:val="1"/>
      <w:bCs w:val="1"/>
    </w:rPr>
  </w:style>
  <w:style w:type="table" w:styleId="a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arquedecommentaire">
    <w:name w:val="annotation reference"/>
    <w:uiPriority w:val="99"/>
    <w:semiHidden w:val="1"/>
    <w:unhideWhenUsed w:val="1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uiPriority w:val="99"/>
    <w:semiHidden w:val="1"/>
    <w:rsid w:val="00DD598D"/>
    <w:rPr>
      <w:rFonts w:ascii="Arial" w:cs="Mangal" w:eastAsia="Arial" w:hAnsi="Arial"/>
      <w:position w:val="-1"/>
      <w:szCs w:val="18"/>
      <w:lang w:bidi="hi-IN" w:eastAsia="zh-CN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 w:val="1"/>
    <w:unhideWhenUsed w:val="1"/>
    <w:rPr>
      <w:b w:val="1"/>
      <w:bCs w:val="1"/>
    </w:rPr>
  </w:style>
  <w:style w:type="character" w:styleId="ObjetducommentaireCar" w:customStyle="1">
    <w:name w:val="Objet du commentaire Car"/>
    <w:basedOn w:val="CommentaireCar"/>
    <w:uiPriority w:val="99"/>
    <w:semiHidden w:val="1"/>
    <w:rsid w:val="00DD598D"/>
    <w:rPr>
      <w:rFonts w:ascii="Arial" w:cs="Mangal" w:eastAsia="Arial" w:hAnsi="Arial"/>
      <w:b w:val="1"/>
      <w:bCs w:val="1"/>
      <w:position w:val="-1"/>
      <w:szCs w:val="18"/>
      <w:lang w:bidi="hi-IN" w:eastAsia="zh-CN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ObjetducommentaireCar1" w:customStyle="1">
    <w:name w:val="Objet du commentaire Car1"/>
    <w:basedOn w:val="CommentaireCar1"/>
    <w:link w:val="Objetducommentaire"/>
    <w:uiPriority w:val="99"/>
    <w:semiHidden w:val="1"/>
    <w:rPr>
      <w:b w:val="1"/>
      <w:bCs w:val="1"/>
      <w:sz w:val="20"/>
      <w:szCs w:val="20"/>
    </w:rPr>
  </w:style>
  <w:style w:type="character" w:styleId="CommentaireCar1" w:customStyle="1">
    <w:name w:val="Commentaire Car1"/>
    <w:link w:val="Commentaire"/>
    <w:uiPriority w:val="99"/>
    <w:semiHidden w:val="1"/>
    <w:rPr>
      <w:sz w:val="20"/>
      <w:szCs w:val="20"/>
    </w:r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rFSV5MmO7JOQhwKMQWmmEA0A8w==">AMUW2mXyYVXqBoqiXh/v7tWSiXSYq5TdXhx6GiOX4+gWQi060gDZFjmSxj5n+STlAcTwdCjDiWL7AA835X10EPblrkkEkrsi6Eh13bqCBwDZ+osldNquUxe3Z/HCTF1YXZ9wpPrGcNO5jR9vmiKnsLg4gprgdktJfURvNfymm2VSxaKlW261OwiMxuJ5rrE9vuXueJkzKQFAO+Ew8mk+2gBnNCF013GbtQ==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2021-04-29T01:04:00Z</dcterms:created>
</cp:coreProperties>
</file>